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CFD93" w14:textId="63DA5287" w:rsidR="00E408A2" w:rsidRPr="007A4268" w:rsidRDefault="00D80DB4" w:rsidP="00981B5B">
      <w:pPr>
        <w:spacing w:after="120"/>
        <w:rPr>
          <w:b/>
          <w:sz w:val="30"/>
          <w:szCs w:val="30"/>
        </w:rPr>
      </w:pPr>
      <w:r>
        <w:rPr>
          <w:b/>
          <w:sz w:val="30"/>
          <w:szCs w:val="30"/>
        </w:rPr>
        <w:t>Nouvelle coffrage-cadre:</w:t>
      </w:r>
      <w:r w:rsidR="0024704A">
        <w:rPr>
          <w:b/>
          <w:sz w:val="30"/>
          <w:szCs w:val="30"/>
        </w:rPr>
        <w:t xml:space="preserve"> </w:t>
      </w:r>
      <w:r w:rsidR="00981B5B" w:rsidRPr="007A4268">
        <w:rPr>
          <w:b/>
          <w:sz w:val="30"/>
          <w:szCs w:val="30"/>
        </w:rPr>
        <w:t>D</w:t>
      </w:r>
      <w:r w:rsidR="00321D7D">
        <w:rPr>
          <w:b/>
          <w:sz w:val="30"/>
          <w:szCs w:val="30"/>
        </w:rPr>
        <w:t>okaXlight</w:t>
      </w:r>
      <w:r w:rsidR="00A96B55" w:rsidRPr="007A4268">
        <w:rPr>
          <w:b/>
          <w:sz w:val="30"/>
          <w:szCs w:val="30"/>
        </w:rPr>
        <w:t xml:space="preserve"> </w:t>
      </w:r>
    </w:p>
    <w:p w14:paraId="40827F07" w14:textId="6AE6ACBB" w:rsidR="00981B5B" w:rsidRPr="00D80DB4" w:rsidRDefault="00D80DB4" w:rsidP="00E408A2">
      <w:pPr>
        <w:rPr>
          <w:sz w:val="24"/>
          <w:szCs w:val="24"/>
          <w:lang w:val="fr-FR"/>
        </w:rPr>
      </w:pPr>
      <w:r w:rsidRPr="00D80DB4">
        <w:rPr>
          <w:sz w:val="24"/>
          <w:szCs w:val="24"/>
          <w:lang w:val="fr-FR"/>
        </w:rPr>
        <w:t>Le nouveau coffrage-cadre en aluminium se distingue par sa légèreté.</w:t>
      </w:r>
    </w:p>
    <w:p w14:paraId="5148AAA8" w14:textId="77777777" w:rsidR="00E408A2" w:rsidRPr="00D80DB4" w:rsidRDefault="00E408A2" w:rsidP="00661301">
      <w:pPr>
        <w:spacing w:line="312" w:lineRule="auto"/>
        <w:jc w:val="both"/>
        <w:rPr>
          <w:b/>
          <w:szCs w:val="22"/>
          <w:lang w:val="fr-FR"/>
        </w:rPr>
      </w:pPr>
    </w:p>
    <w:p w14:paraId="1D29499A" w14:textId="3D04D800" w:rsidR="00321D7D" w:rsidRPr="00D80DB4" w:rsidRDefault="00321D7D" w:rsidP="00661301">
      <w:pPr>
        <w:spacing w:line="288" w:lineRule="auto"/>
        <w:jc w:val="both"/>
        <w:rPr>
          <w:b/>
          <w:szCs w:val="22"/>
          <w:lang w:val="fr-FR"/>
        </w:rPr>
      </w:pPr>
      <w:r w:rsidRPr="00D80DB4">
        <w:rPr>
          <w:b/>
          <w:lang w:val="fr-FR"/>
        </w:rPr>
        <w:t xml:space="preserve">DokaXlight </w:t>
      </w:r>
      <w:r w:rsidR="00D80DB4" w:rsidRPr="00D80DB4">
        <w:rPr>
          <w:b/>
          <w:szCs w:val="22"/>
          <w:lang w:val="fr-FR"/>
        </w:rPr>
        <w:t>est le coffrage-cadre le plus léger de la gamme Doka. Il séduit avant tout par l’alliance proposée entre légèreté et robustesse. Son utilisation sans grue et par une seule personne, ainsi que son maniement facile grâce à des poignées intégrées permettent d’effectuer les travaux de coffrage plus rapidement.</w:t>
      </w:r>
    </w:p>
    <w:p w14:paraId="53F96D8A" w14:textId="77777777" w:rsidR="00321D7D" w:rsidRPr="00D80DB4" w:rsidRDefault="00321D7D" w:rsidP="00661301">
      <w:pPr>
        <w:tabs>
          <w:tab w:val="left" w:pos="1185"/>
        </w:tabs>
        <w:spacing w:line="288" w:lineRule="auto"/>
        <w:jc w:val="both"/>
        <w:rPr>
          <w:b/>
          <w:sz w:val="20"/>
          <w:lang w:val="fr-FR"/>
        </w:rPr>
      </w:pPr>
    </w:p>
    <w:p w14:paraId="22EC23BF" w14:textId="1842C98A" w:rsidR="00321D7D" w:rsidRPr="00D80DB4" w:rsidRDefault="003659EB" w:rsidP="00D80DB4">
      <w:pPr>
        <w:tabs>
          <w:tab w:val="left" w:pos="1185"/>
        </w:tabs>
        <w:spacing w:line="288" w:lineRule="auto"/>
        <w:jc w:val="both"/>
        <w:rPr>
          <w:lang w:val="fr-FR"/>
        </w:rPr>
      </w:pPr>
      <w:r w:rsidRPr="00D80DB4">
        <w:rPr>
          <w:lang w:val="fr-FR"/>
        </w:rPr>
        <w:t>Niederhasli</w:t>
      </w:r>
      <w:r w:rsidR="0024704A" w:rsidRPr="00D80DB4">
        <w:rPr>
          <w:lang w:val="fr-FR"/>
        </w:rPr>
        <w:t xml:space="preserve">, </w:t>
      </w:r>
      <w:r w:rsidRPr="00D80DB4">
        <w:rPr>
          <w:lang w:val="fr-FR"/>
        </w:rPr>
        <w:t>10</w:t>
      </w:r>
      <w:r w:rsidR="0024704A" w:rsidRPr="00D80DB4">
        <w:rPr>
          <w:lang w:val="fr-FR"/>
        </w:rPr>
        <w:t>.02.2020</w:t>
      </w:r>
      <w:r w:rsidRPr="00D80DB4">
        <w:rPr>
          <w:lang w:val="fr-FR"/>
        </w:rPr>
        <w:t xml:space="preserve"> –</w:t>
      </w:r>
      <w:r w:rsidR="0024704A" w:rsidRPr="00D80DB4">
        <w:rPr>
          <w:lang w:val="fr-FR"/>
        </w:rPr>
        <w:t xml:space="preserve"> </w:t>
      </w:r>
      <w:r w:rsidR="00D80DB4" w:rsidRPr="00D80DB4">
        <w:rPr>
          <w:lang w:val="fr-FR"/>
        </w:rPr>
        <w:t xml:space="preserve">Avec son poids de 22,6 kg par élément principal (0,75 x 1,50 m), </w:t>
      </w:r>
      <w:r w:rsidR="00D80DB4">
        <w:rPr>
          <w:lang w:val="fr-FR"/>
        </w:rPr>
        <w:t>DokaXlight</w:t>
      </w:r>
      <w:r w:rsidR="00D80DB4" w:rsidRPr="00D80DB4">
        <w:rPr>
          <w:lang w:val="fr-FR"/>
        </w:rPr>
        <w:t xml:space="preserve"> est un système robuste qui garantit une utilisation à la fois simple et économique pour les constructions en béton de tout type et de toute taille. Il s’adapte facilement à chaque ouvrage, que ce soit en construction neuve ou en rénovation, grâce à différe</w:t>
      </w:r>
      <w:r w:rsidR="00D80DB4">
        <w:rPr>
          <w:lang w:val="fr-FR"/>
        </w:rPr>
        <w:t xml:space="preserve">nts formats standards proposés. </w:t>
      </w:r>
      <w:r w:rsidR="00D80DB4" w:rsidRPr="00D80DB4">
        <w:rPr>
          <w:lang w:val="fr-FR"/>
        </w:rPr>
        <w:t xml:space="preserve">Manipulable sans grue et par une seule personne, il permet de travailler plus rapidement et de gagner en productivité en optimisant les ressources disponibles sur –le chantier. Supportant une pression de bétonnage allant jusqu’à 50 kN/m² pour les voiles et jusqu’à 75 kN/m² pour les coffrages-poteaux, </w:t>
      </w:r>
      <w:r w:rsidR="00D80DB4">
        <w:rPr>
          <w:lang w:val="fr-FR"/>
        </w:rPr>
        <w:t>DokaXlight</w:t>
      </w:r>
      <w:r w:rsidR="00D80DB4" w:rsidRPr="00D80DB4">
        <w:rPr>
          <w:lang w:val="fr-FR"/>
        </w:rPr>
        <w:t xml:space="preserve"> est un système de coffrage manuportable qui assure une vitesse de bétonnage élevée.</w:t>
      </w:r>
    </w:p>
    <w:p w14:paraId="58241D58" w14:textId="77777777" w:rsidR="00321D7D" w:rsidRPr="00D80DB4" w:rsidRDefault="00321D7D" w:rsidP="00661301">
      <w:pPr>
        <w:tabs>
          <w:tab w:val="left" w:pos="1185"/>
        </w:tabs>
        <w:spacing w:line="288" w:lineRule="auto"/>
        <w:jc w:val="both"/>
        <w:rPr>
          <w:lang w:val="fr-FR"/>
        </w:rPr>
      </w:pPr>
    </w:p>
    <w:p w14:paraId="51CEFFF7" w14:textId="6813F0A6" w:rsidR="00321D7D" w:rsidRDefault="00D80DB4" w:rsidP="00661301">
      <w:pPr>
        <w:spacing w:line="288" w:lineRule="auto"/>
        <w:jc w:val="both"/>
        <w:rPr>
          <w:lang w:val="fr-FR"/>
        </w:rPr>
      </w:pPr>
      <w:r w:rsidRPr="00D80DB4">
        <w:rPr>
          <w:lang w:val="fr-FR"/>
        </w:rPr>
        <w:t xml:space="preserve">« Avec son poids de 22,6 kg par élément principal, le panneau manuportable </w:t>
      </w:r>
      <w:r>
        <w:rPr>
          <w:lang w:val="fr-FR"/>
        </w:rPr>
        <w:t>DokaXlight</w:t>
      </w:r>
      <w:r w:rsidRPr="00D80DB4">
        <w:rPr>
          <w:lang w:val="fr-FR"/>
        </w:rPr>
        <w:t xml:space="preserve"> </w:t>
      </w:r>
      <w:r w:rsidRPr="00D80DB4">
        <w:rPr>
          <w:lang w:val="fr-FR"/>
        </w:rPr>
        <w:t>est très facile d’utilisation pour mes collaborateurs, qui peuvent ainsi travailler à moindre effort, plus rapidement et avec une meilleure rentabilité dans de nombreux domaines d’applications ! » souligne Ralf Mang, Conducteur de travaux chez Spiluttini Bau GmbH.</w:t>
      </w:r>
    </w:p>
    <w:p w14:paraId="5AC214E0" w14:textId="77777777" w:rsidR="00D80DB4" w:rsidRPr="00D80DB4" w:rsidRDefault="00D80DB4" w:rsidP="00661301">
      <w:pPr>
        <w:spacing w:line="288" w:lineRule="auto"/>
        <w:jc w:val="both"/>
        <w:rPr>
          <w:lang w:val="fr-FR"/>
        </w:rPr>
      </w:pPr>
    </w:p>
    <w:p w14:paraId="3335E2EF" w14:textId="09B227C6" w:rsidR="00321D7D" w:rsidRDefault="00D80DB4" w:rsidP="00D80DB4">
      <w:pPr>
        <w:spacing w:line="288" w:lineRule="auto"/>
        <w:jc w:val="both"/>
        <w:rPr>
          <w:lang w:val="fr-FR"/>
        </w:rPr>
      </w:pPr>
      <w:r w:rsidRPr="00D80DB4">
        <w:rPr>
          <w:lang w:val="fr-FR"/>
        </w:rPr>
        <w:t xml:space="preserve">« Libérez-vous d’un poids », tel est le « Light’Motiv » de </w:t>
      </w:r>
      <w:r>
        <w:rPr>
          <w:lang w:val="fr-FR"/>
        </w:rPr>
        <w:t>DokaXlight</w:t>
      </w:r>
      <w:r>
        <w:rPr>
          <w:lang w:val="fr-FR"/>
        </w:rPr>
        <w:t xml:space="preserve"> </w:t>
      </w:r>
      <w:r w:rsidRPr="00D80DB4">
        <w:rPr>
          <w:lang w:val="fr-FR"/>
        </w:rPr>
        <w:t xml:space="preserve">! En plus de sa légèreté, le coffrage-cadre permet un nombre important de réemplois avec le panneau </w:t>
      </w:r>
      <w:r>
        <w:rPr>
          <w:lang w:val="fr-FR"/>
        </w:rPr>
        <w:t>Xlife</w:t>
      </w:r>
      <w:r w:rsidRPr="00D80DB4">
        <w:rPr>
          <w:lang w:val="fr-FR"/>
        </w:rPr>
        <w:t xml:space="preserve"> doté une grande longévité. Il est aussi durable grâce à son cadre en aluminium, assurant une protection tout autour du panneau de coffrage, et son nettoyage est facilité puisqu’il est recouve</w:t>
      </w:r>
      <w:r>
        <w:rPr>
          <w:lang w:val="fr-FR"/>
        </w:rPr>
        <w:t xml:space="preserve">rt d'un traitement pulvérulent. </w:t>
      </w:r>
      <w:r w:rsidRPr="00D80DB4">
        <w:rPr>
          <w:lang w:val="fr-FR"/>
        </w:rPr>
        <w:t>Notez aussi que des connecteurs intégrables seront également disponibles très prochainement. Ils permettront un gain de temps et une perte impossible sur le chantier.</w:t>
      </w:r>
    </w:p>
    <w:p w14:paraId="6E11A730" w14:textId="3647D05A" w:rsidR="00D80DB4" w:rsidRDefault="00D80DB4" w:rsidP="00D80DB4">
      <w:pPr>
        <w:spacing w:line="288" w:lineRule="auto"/>
        <w:jc w:val="both"/>
        <w:rPr>
          <w:lang w:val="fr-FR"/>
        </w:rPr>
      </w:pPr>
    </w:p>
    <w:p w14:paraId="010E7755" w14:textId="06F6B201" w:rsidR="00D80DB4" w:rsidRPr="00D80DB4" w:rsidRDefault="00D80DB4" w:rsidP="00D80DB4">
      <w:pPr>
        <w:spacing w:line="288" w:lineRule="auto"/>
        <w:jc w:val="both"/>
        <w:rPr>
          <w:lang w:val="fr-FR"/>
        </w:rPr>
      </w:pPr>
      <w:r w:rsidRPr="00D80DB4">
        <w:rPr>
          <w:lang w:val="fr-FR"/>
        </w:rPr>
        <w:t>Le développement durable a également été pris en compte dans la conception du produit : les matériaux usagés sont recyclés dans la fabrication de nouveaux produits, ou sont utilisés pour produire de l’énergie thermique.</w:t>
      </w:r>
    </w:p>
    <w:p w14:paraId="6BB3150B" w14:textId="77777777" w:rsidR="00D80DB4" w:rsidRPr="00D80DB4" w:rsidRDefault="00D80DB4" w:rsidP="00D80DB4">
      <w:pPr>
        <w:spacing w:line="288" w:lineRule="auto"/>
        <w:jc w:val="both"/>
        <w:rPr>
          <w:i/>
          <w:lang w:val="fr-FR"/>
        </w:rPr>
      </w:pPr>
    </w:p>
    <w:p w14:paraId="18E357D6" w14:textId="77777777" w:rsidR="00D80DB4" w:rsidRPr="00D80DB4" w:rsidRDefault="00D80DB4" w:rsidP="00661301">
      <w:pPr>
        <w:spacing w:line="288" w:lineRule="auto"/>
        <w:jc w:val="both"/>
        <w:rPr>
          <w:b/>
          <w:lang w:val="fr-FR"/>
        </w:rPr>
      </w:pPr>
      <w:r w:rsidRPr="00D80DB4">
        <w:rPr>
          <w:b/>
          <w:lang w:val="fr-FR"/>
        </w:rPr>
        <w:t xml:space="preserve">Une entrée réussie sur bauma </w:t>
      </w:r>
    </w:p>
    <w:p w14:paraId="7CC3A09C" w14:textId="336DE913" w:rsidR="00D80DB4" w:rsidRPr="00D80DB4" w:rsidRDefault="00D80DB4" w:rsidP="00D80DB4">
      <w:pPr>
        <w:spacing w:line="288" w:lineRule="auto"/>
        <w:jc w:val="both"/>
        <w:rPr>
          <w:lang w:val="fr-FR"/>
        </w:rPr>
      </w:pPr>
      <w:r w:rsidRPr="00D80DB4">
        <w:rPr>
          <w:lang w:val="fr-FR"/>
        </w:rPr>
        <w:t>À l'occasion du bauma en avri</w:t>
      </w:r>
      <w:r>
        <w:rPr>
          <w:lang w:val="fr-FR"/>
        </w:rPr>
        <w:t xml:space="preserve">l dernier, DOKAXLIGHT avait été </w:t>
      </w:r>
      <w:r w:rsidRPr="00D80DB4">
        <w:rPr>
          <w:lang w:val="fr-FR"/>
        </w:rPr>
        <w:t>présenté pour la première fois à u</w:t>
      </w:r>
      <w:r>
        <w:rPr>
          <w:lang w:val="fr-FR"/>
        </w:rPr>
        <w:t xml:space="preserve">n large public, et a suscité un </w:t>
      </w:r>
      <w:r w:rsidRPr="00D80DB4">
        <w:rPr>
          <w:lang w:val="fr-FR"/>
        </w:rPr>
        <w:t>immense intérêt auprès de nos clients. Le coffrage-cadre a</w:t>
      </w:r>
      <w:r>
        <w:rPr>
          <w:lang w:val="fr-FR"/>
        </w:rPr>
        <w:t xml:space="preserve"> </w:t>
      </w:r>
      <w:r w:rsidRPr="00D80DB4">
        <w:rPr>
          <w:lang w:val="fr-FR"/>
        </w:rPr>
        <w:t>également été utilisé lors des démonstrations de produit en</w:t>
      </w:r>
      <w:r>
        <w:rPr>
          <w:lang w:val="fr-FR"/>
        </w:rPr>
        <w:t xml:space="preserve"> direct </w:t>
      </w:r>
      <w:r w:rsidRPr="00D80DB4">
        <w:rPr>
          <w:lang w:val="fr-FR"/>
        </w:rPr>
        <w:lastRenderedPageBreak/>
        <w:t>avec les champion</w:t>
      </w:r>
      <w:r>
        <w:rPr>
          <w:lang w:val="fr-FR"/>
        </w:rPr>
        <w:t xml:space="preserve">s du monde et vice-champions du </w:t>
      </w:r>
      <w:r w:rsidRPr="00D80DB4">
        <w:rPr>
          <w:lang w:val="fr-FR"/>
        </w:rPr>
        <w:t xml:space="preserve">monde de la construction en </w:t>
      </w:r>
      <w:r>
        <w:rPr>
          <w:lang w:val="fr-FR"/>
        </w:rPr>
        <w:t xml:space="preserve">béton (WorldSkills 2017). Trois </w:t>
      </w:r>
      <w:r w:rsidRPr="00D80DB4">
        <w:rPr>
          <w:lang w:val="fr-FR"/>
        </w:rPr>
        <w:t>fois par jour, ces derniers se sont lancés dans une course</w:t>
      </w:r>
    </w:p>
    <w:p w14:paraId="49FCA6E9" w14:textId="5D0A69D6" w:rsidR="00321D7D" w:rsidRDefault="00D80DB4" w:rsidP="00D80DB4">
      <w:pPr>
        <w:spacing w:line="288" w:lineRule="auto"/>
        <w:jc w:val="both"/>
        <w:rPr>
          <w:lang w:val="fr-FR"/>
        </w:rPr>
      </w:pPr>
      <w:r w:rsidRPr="00D80DB4">
        <w:rPr>
          <w:lang w:val="fr-FR"/>
        </w:rPr>
        <w:t>contre la montre sur le Campus</w:t>
      </w:r>
      <w:r>
        <w:rPr>
          <w:lang w:val="fr-FR"/>
        </w:rPr>
        <w:t xml:space="preserve"> Doka et ont dépassé jour après </w:t>
      </w:r>
      <w:r w:rsidRPr="00D80DB4">
        <w:rPr>
          <w:lang w:val="fr-FR"/>
        </w:rPr>
        <w:t>jour leur propre performanc</w:t>
      </w:r>
      <w:r>
        <w:rPr>
          <w:lang w:val="fr-FR"/>
        </w:rPr>
        <w:t xml:space="preserve">e – 27 m² de DokaXlight ont été </w:t>
      </w:r>
      <w:r w:rsidRPr="00D80DB4">
        <w:rPr>
          <w:lang w:val="fr-FR"/>
        </w:rPr>
        <w:t>coffrés en un temps record : 6:07 minutes !</w:t>
      </w:r>
    </w:p>
    <w:p w14:paraId="718062EA" w14:textId="77777777" w:rsidR="00D80DB4" w:rsidRPr="00D80DB4" w:rsidRDefault="00D80DB4" w:rsidP="00D80DB4">
      <w:pPr>
        <w:spacing w:line="288" w:lineRule="auto"/>
        <w:jc w:val="both"/>
        <w:rPr>
          <w:rFonts w:cs="Arial"/>
          <w:lang w:val="fr-FR"/>
        </w:rPr>
      </w:pPr>
    </w:p>
    <w:p w14:paraId="7C9C16C0" w14:textId="0C5A1E0A" w:rsidR="00321D7D" w:rsidRPr="00D80DB4" w:rsidRDefault="00D80DB4" w:rsidP="00661301">
      <w:pPr>
        <w:spacing w:line="288" w:lineRule="auto"/>
        <w:jc w:val="both"/>
        <w:rPr>
          <w:rFonts w:cs="Arial"/>
          <w:lang w:val="fr-FR"/>
        </w:rPr>
      </w:pPr>
      <w:r w:rsidRPr="00D80DB4">
        <w:rPr>
          <w:rFonts w:cs="Arial"/>
          <w:lang w:val="fr-FR"/>
        </w:rPr>
        <w:t>DOKAXLIGHT existe en plusieurs tailles</w:t>
      </w:r>
      <w:r>
        <w:rPr>
          <w:rFonts w:cs="Arial"/>
          <w:lang w:val="fr-FR"/>
        </w:rPr>
        <w:t xml:space="preserve"> de 1,50 m et 3 m de haut.</w:t>
      </w:r>
    </w:p>
    <w:p w14:paraId="48C1A79B" w14:textId="50C8E6E7" w:rsidR="000007A5" w:rsidRPr="00D80DB4" w:rsidRDefault="000007A5" w:rsidP="003B26C3">
      <w:pPr>
        <w:spacing w:line="288" w:lineRule="auto"/>
        <w:jc w:val="both"/>
        <w:rPr>
          <w:rFonts w:cs="Arial"/>
          <w:sz w:val="21"/>
          <w:szCs w:val="21"/>
          <w:highlight w:val="lightGray"/>
          <w:lang w:val="fr-FR"/>
        </w:rPr>
      </w:pPr>
    </w:p>
    <w:p w14:paraId="20802681" w14:textId="2D203A78" w:rsidR="00382323" w:rsidRPr="00D80DB4" w:rsidRDefault="00382323" w:rsidP="000B4272">
      <w:pPr>
        <w:pStyle w:val="Einleitung"/>
        <w:pBdr>
          <w:top w:val="single" w:sz="4" w:space="1" w:color="auto"/>
        </w:pBdr>
        <w:spacing w:line="276" w:lineRule="auto"/>
        <w:jc w:val="both"/>
        <w:rPr>
          <w:sz w:val="21"/>
          <w:szCs w:val="21"/>
          <w:lang w:val="fr-FR"/>
        </w:rPr>
      </w:pPr>
    </w:p>
    <w:p w14:paraId="1D190946" w14:textId="16CCBD67" w:rsidR="00DB5E3A" w:rsidRPr="00297519" w:rsidRDefault="00D80DB4" w:rsidP="00DB5E3A">
      <w:pPr>
        <w:keepNext/>
        <w:spacing w:line="257" w:lineRule="auto"/>
        <w:jc w:val="both"/>
        <w:rPr>
          <w:rFonts w:cs="Arial"/>
          <w:sz w:val="20"/>
          <w:lang w:val="de-AT"/>
        </w:rPr>
      </w:pPr>
      <w:r>
        <w:rPr>
          <w:rFonts w:cs="Arial"/>
          <w:b/>
          <w:sz w:val="20"/>
          <w:lang w:val="de-AT"/>
        </w:rPr>
        <w:t xml:space="preserve">Concernant Doka : </w:t>
      </w:r>
    </w:p>
    <w:p w14:paraId="64858198" w14:textId="60454121" w:rsidR="00DB5E3A" w:rsidRPr="00D80DB4" w:rsidRDefault="00D80DB4" w:rsidP="00D80DB4">
      <w:pPr>
        <w:tabs>
          <w:tab w:val="left" w:pos="2835"/>
        </w:tabs>
        <w:spacing w:line="264" w:lineRule="auto"/>
        <w:jc w:val="both"/>
        <w:rPr>
          <w:rFonts w:cs="Arial"/>
          <w:sz w:val="20"/>
          <w:lang w:val="fr-FR"/>
        </w:rPr>
      </w:pPr>
      <w:r w:rsidRPr="00D80DB4">
        <w:rPr>
          <w:rFonts w:cs="Arial"/>
          <w:sz w:val="20"/>
          <w:lang w:val="fr-FR"/>
        </w:rPr>
        <w:t>L'entreprise DOKA compte parmi les leaders mondiaux dans le déve</w:t>
      </w:r>
      <w:r>
        <w:rPr>
          <w:rFonts w:cs="Arial"/>
          <w:sz w:val="20"/>
          <w:lang w:val="fr-FR"/>
        </w:rPr>
        <w:t xml:space="preserve">loppement, la fabrication et la </w:t>
      </w:r>
      <w:r w:rsidRPr="00D80DB4">
        <w:rPr>
          <w:rFonts w:cs="Arial"/>
          <w:sz w:val="20"/>
          <w:lang w:val="fr-FR"/>
        </w:rPr>
        <w:t>commercialisation des techniques de coffrage, pour tous les do</w:t>
      </w:r>
      <w:r>
        <w:rPr>
          <w:rFonts w:cs="Arial"/>
          <w:sz w:val="20"/>
          <w:lang w:val="fr-FR"/>
        </w:rPr>
        <w:t xml:space="preserve">maines du BTP. Avec plus de 160 </w:t>
      </w:r>
      <w:r w:rsidRPr="00D80DB4">
        <w:rPr>
          <w:rFonts w:cs="Arial"/>
          <w:sz w:val="20"/>
          <w:lang w:val="fr-FR"/>
        </w:rPr>
        <w:t>succursales commerciales et logistiques dans plus de 70 pays, DOKA disp</w:t>
      </w:r>
      <w:r>
        <w:rPr>
          <w:rFonts w:cs="Arial"/>
          <w:sz w:val="20"/>
          <w:lang w:val="fr-FR"/>
        </w:rPr>
        <w:t xml:space="preserve">ose d'un réseau de distribution </w:t>
      </w:r>
      <w:r w:rsidRPr="00D80DB4">
        <w:rPr>
          <w:rFonts w:cs="Arial"/>
          <w:sz w:val="20"/>
          <w:lang w:val="fr-FR"/>
        </w:rPr>
        <w:t>performant qui lui permet de fournir rapideme</w:t>
      </w:r>
      <w:r>
        <w:rPr>
          <w:rFonts w:cs="Arial"/>
          <w:sz w:val="20"/>
          <w:lang w:val="fr-FR"/>
        </w:rPr>
        <w:t xml:space="preserve">nt et avec professionnalisme le </w:t>
      </w:r>
      <w:r w:rsidRPr="00D80DB4">
        <w:rPr>
          <w:rFonts w:cs="Arial"/>
          <w:sz w:val="20"/>
          <w:lang w:val="fr-FR"/>
        </w:rPr>
        <w:t>maté</w:t>
      </w:r>
      <w:r>
        <w:rPr>
          <w:rFonts w:cs="Arial"/>
          <w:sz w:val="20"/>
          <w:lang w:val="fr-FR"/>
        </w:rPr>
        <w:t xml:space="preserve">riel et le support </w:t>
      </w:r>
      <w:r w:rsidRPr="00D80DB4">
        <w:rPr>
          <w:rFonts w:cs="Arial"/>
          <w:sz w:val="20"/>
          <w:lang w:val="fr-FR"/>
        </w:rPr>
        <w:t xml:space="preserve">technique. DOKA est une entreprise de UMDASCH Group et emploie </w:t>
      </w:r>
      <w:r>
        <w:rPr>
          <w:rFonts w:cs="Arial"/>
          <w:sz w:val="20"/>
          <w:lang w:val="fr-FR"/>
        </w:rPr>
        <w:t xml:space="preserve">plus de 7000 collaboratrices et </w:t>
      </w:r>
      <w:r w:rsidRPr="00D80DB4">
        <w:rPr>
          <w:rFonts w:cs="Arial"/>
          <w:sz w:val="20"/>
          <w:lang w:val="fr-FR"/>
        </w:rPr>
        <w:t>collaborateurs à travers le monde.</w:t>
      </w:r>
    </w:p>
    <w:p w14:paraId="70C982C7" w14:textId="77777777" w:rsidR="00DB5E3A" w:rsidRPr="00D80DB4" w:rsidRDefault="00DB5E3A" w:rsidP="00DB5E3A">
      <w:pPr>
        <w:pBdr>
          <w:bottom w:val="single" w:sz="4" w:space="1" w:color="auto"/>
        </w:pBdr>
        <w:spacing w:line="257" w:lineRule="auto"/>
        <w:rPr>
          <w:rFonts w:cs="Arial"/>
          <w:sz w:val="20"/>
          <w:lang w:val="fr-FR"/>
        </w:rPr>
      </w:pPr>
    </w:p>
    <w:p w14:paraId="7DAAEEF8" w14:textId="77777777" w:rsidR="00DB5E3A" w:rsidRPr="00D80DB4" w:rsidRDefault="00DB5E3A" w:rsidP="00DB5E3A">
      <w:pPr>
        <w:keepLines/>
        <w:rPr>
          <w:rFonts w:cs="Arial"/>
          <w:sz w:val="20"/>
          <w:u w:val="single"/>
          <w:lang w:val="fr-FR"/>
        </w:rPr>
      </w:pPr>
    </w:p>
    <w:p w14:paraId="39B0D292" w14:textId="2141F9C4" w:rsidR="003659EB" w:rsidRDefault="00D80DB4" w:rsidP="00DB5E3A">
      <w:pPr>
        <w:keepLines/>
        <w:jc w:val="both"/>
        <w:rPr>
          <w:rStyle w:val="Hyperlink"/>
          <w:rFonts w:cs="Arial"/>
          <w:sz w:val="20"/>
        </w:rPr>
      </w:pPr>
      <w:r>
        <w:rPr>
          <w:rFonts w:cs="Arial"/>
          <w:sz w:val="20"/>
          <w:u w:val="single"/>
        </w:rPr>
        <w:t>Contact de presse</w:t>
      </w:r>
      <w:r w:rsidR="00DB5E3A" w:rsidRPr="00297519">
        <w:rPr>
          <w:rFonts w:cs="Arial"/>
          <w:sz w:val="20"/>
          <w:u w:val="single"/>
        </w:rPr>
        <w:t>:</w:t>
      </w:r>
      <w:r w:rsidR="00DB5E3A" w:rsidRPr="00297519">
        <w:rPr>
          <w:rFonts w:cs="Arial"/>
          <w:sz w:val="20"/>
          <w:u w:val="single"/>
        </w:rPr>
        <w:br/>
      </w:r>
      <w:r w:rsidR="003659EB">
        <w:rPr>
          <w:rFonts w:cs="Arial"/>
          <w:sz w:val="20"/>
        </w:rPr>
        <w:t>Doka Schweiz AG</w:t>
      </w:r>
      <w:r w:rsidR="00DB5E3A" w:rsidRPr="00297519">
        <w:rPr>
          <w:rFonts w:cs="Arial"/>
          <w:sz w:val="20"/>
        </w:rPr>
        <w:br/>
      </w:r>
      <w:r w:rsidR="003659EB">
        <w:rPr>
          <w:rFonts w:cs="Arial"/>
          <w:sz w:val="20"/>
        </w:rPr>
        <w:t>Dominic Staub</w:t>
      </w:r>
      <w:r w:rsidR="00DB5E3A" w:rsidRPr="00297519">
        <w:rPr>
          <w:rFonts w:cs="Arial"/>
          <w:sz w:val="20"/>
        </w:rPr>
        <w:t xml:space="preserve"> </w:t>
      </w:r>
      <w:r w:rsidR="00DB5E3A" w:rsidRPr="00297519">
        <w:rPr>
          <w:rFonts w:cs="Arial"/>
          <w:sz w:val="20"/>
        </w:rPr>
        <w:br/>
        <w:t>Tel. +4</w:t>
      </w:r>
      <w:r w:rsidR="003659EB">
        <w:rPr>
          <w:rFonts w:cs="Arial"/>
          <w:sz w:val="20"/>
        </w:rPr>
        <w:t>1 43 411 20 82</w:t>
      </w:r>
      <w:r w:rsidR="00DB5E3A" w:rsidRPr="00297519">
        <w:rPr>
          <w:rFonts w:cs="Arial"/>
          <w:sz w:val="20"/>
        </w:rPr>
        <w:br/>
      </w:r>
      <w:r w:rsidR="003659EB">
        <w:rPr>
          <w:rFonts w:cs="Arial"/>
          <w:sz w:val="20"/>
        </w:rPr>
        <w:t>dominic.staub@doka.com</w:t>
      </w:r>
      <w:r w:rsidR="00DB5E3A" w:rsidRPr="00297519">
        <w:rPr>
          <w:rFonts w:cs="Arial"/>
          <w:sz w:val="20"/>
        </w:rPr>
        <w:br/>
      </w:r>
      <w:r w:rsidR="003659EB" w:rsidRPr="003659EB">
        <w:rPr>
          <w:rFonts w:cs="Arial"/>
          <w:sz w:val="20"/>
        </w:rPr>
        <w:t>www.doka-schweiz.ch</w:t>
      </w:r>
    </w:p>
    <w:p w14:paraId="07CA8BF5" w14:textId="77777777" w:rsidR="00DB5E3A" w:rsidRDefault="00DB5E3A" w:rsidP="00DB5E3A">
      <w:pPr>
        <w:keepLines/>
        <w:jc w:val="both"/>
      </w:pPr>
    </w:p>
    <w:p w14:paraId="2147F5CC" w14:textId="2CEF31E7" w:rsidR="00557B43" w:rsidRDefault="00557B43" w:rsidP="00557B43">
      <w:pPr>
        <w:keepLines/>
        <w:pBdr>
          <w:top w:val="single" w:sz="4" w:space="1" w:color="auto"/>
        </w:pBdr>
        <w:jc w:val="both"/>
      </w:pPr>
    </w:p>
    <w:p w14:paraId="22AB4072" w14:textId="00287E63" w:rsidR="009F43B5" w:rsidRDefault="009F43B5">
      <w:pPr>
        <w:overflowPunct/>
        <w:autoSpaceDE/>
        <w:autoSpaceDN/>
        <w:adjustRightInd/>
        <w:textAlignment w:val="auto"/>
        <w:rPr>
          <w:b/>
        </w:rPr>
      </w:pPr>
    </w:p>
    <w:p w14:paraId="29A025A5" w14:textId="12846CC3" w:rsidR="000000C0" w:rsidRPr="00D80DB4" w:rsidRDefault="00E0332F" w:rsidP="009F43B5">
      <w:pPr>
        <w:keepLines/>
        <w:jc w:val="both"/>
        <w:rPr>
          <w:i/>
          <w:lang w:val="fr-FR"/>
        </w:rPr>
      </w:pPr>
      <w:r>
        <w:rPr>
          <w:b/>
          <w:lang w:val="fr-FR"/>
        </w:rPr>
        <w:t>Photos</w:t>
      </w:r>
      <w:bookmarkStart w:id="0" w:name="_GoBack"/>
      <w:bookmarkEnd w:id="0"/>
      <w:r w:rsidR="007A4C56" w:rsidRPr="00D80DB4">
        <w:rPr>
          <w:b/>
          <w:lang w:val="fr-FR"/>
        </w:rPr>
        <w:br/>
      </w:r>
      <w:r w:rsidR="00D80DB4" w:rsidRPr="00D80DB4">
        <w:rPr>
          <w:i/>
          <w:lang w:val="fr-FR"/>
        </w:rPr>
        <w:t xml:space="preserve">Veuillez </w:t>
      </w:r>
      <w:r w:rsidR="00D80DB4">
        <w:rPr>
          <w:i/>
          <w:lang w:val="fr-FR"/>
        </w:rPr>
        <w:t>mention</w:t>
      </w:r>
      <w:r w:rsidR="00D80DB4" w:rsidRPr="00D80DB4">
        <w:rPr>
          <w:i/>
          <w:lang w:val="fr-FR"/>
        </w:rPr>
        <w:t xml:space="preserve"> s.v.p. </w:t>
      </w:r>
      <w:r w:rsidR="00D80DB4">
        <w:rPr>
          <w:i/>
          <w:lang w:val="fr-FR"/>
        </w:rPr>
        <w:t>le droit d’auteur.</w:t>
      </w:r>
    </w:p>
    <w:p w14:paraId="084D7E84" w14:textId="7293D2F1" w:rsidR="0055215B" w:rsidRPr="00D80DB4" w:rsidRDefault="0055215B" w:rsidP="00A96591">
      <w:pPr>
        <w:spacing w:line="276" w:lineRule="auto"/>
        <w:rPr>
          <w:i/>
          <w:noProof/>
          <w:lang w:val="fr-FR"/>
        </w:rPr>
      </w:pPr>
    </w:p>
    <w:tbl>
      <w:tblPr>
        <w:tblW w:w="8506" w:type="dxa"/>
        <w:tblInd w:w="-142" w:type="dxa"/>
        <w:tblLayout w:type="fixed"/>
        <w:tblLook w:val="04A0" w:firstRow="1" w:lastRow="0" w:firstColumn="1" w:lastColumn="0" w:noHBand="0" w:noVBand="1"/>
      </w:tblPr>
      <w:tblGrid>
        <w:gridCol w:w="4253"/>
        <w:gridCol w:w="4253"/>
      </w:tblGrid>
      <w:tr w:rsidR="00321D7D" w:rsidRPr="00EA2291" w14:paraId="6C15AFF0" w14:textId="77777777" w:rsidTr="007515E3">
        <w:trPr>
          <w:trHeight w:val="1870"/>
        </w:trPr>
        <w:tc>
          <w:tcPr>
            <w:tcW w:w="4253" w:type="dxa"/>
          </w:tcPr>
          <w:p w14:paraId="7F023160" w14:textId="77777777" w:rsidR="00321D7D" w:rsidRPr="002536A3" w:rsidRDefault="00321D7D" w:rsidP="007515E3">
            <w:pPr>
              <w:spacing w:line="276" w:lineRule="auto"/>
              <w:rPr>
                <w:sz w:val="16"/>
                <w:szCs w:val="16"/>
              </w:rPr>
            </w:pPr>
            <w:r w:rsidRPr="004F242F">
              <w:rPr>
                <w:noProof/>
                <w:sz w:val="16"/>
                <w:szCs w:val="16"/>
                <w:lang w:val="de-CH" w:eastAsia="de-CH"/>
              </w:rPr>
              <w:drawing>
                <wp:inline distT="0" distB="0" distL="0" distR="0" wp14:anchorId="2440C2DD" wp14:editId="63806203">
                  <wp:extent cx="2520000" cy="2160000"/>
                  <wp:effectExtent l="0" t="0" r="0" b="0"/>
                  <wp:docPr id="4" name="Grafik 4" descr="Q:\Doka\Company\External Communication - Image\Press Releases (tbd)\In progress_2019\2019_11 DokaXlight\Pictures\Word\DokaXligh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19\2019_11 DokaXlight\Pictures\Word\DokaXlight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000" cy="2160000"/>
                          </a:xfrm>
                          <a:prstGeom prst="rect">
                            <a:avLst/>
                          </a:prstGeom>
                          <a:noFill/>
                          <a:ln>
                            <a:noFill/>
                          </a:ln>
                        </pic:spPr>
                      </pic:pic>
                    </a:graphicData>
                  </a:graphic>
                </wp:inline>
              </w:drawing>
            </w:r>
          </w:p>
        </w:tc>
        <w:tc>
          <w:tcPr>
            <w:tcW w:w="4253" w:type="dxa"/>
            <w:shd w:val="clear" w:color="auto" w:fill="auto"/>
          </w:tcPr>
          <w:p w14:paraId="122D39F9" w14:textId="77777777" w:rsidR="00321D7D" w:rsidRPr="00696388" w:rsidRDefault="00321D7D" w:rsidP="007515E3">
            <w:pPr>
              <w:spacing w:line="276" w:lineRule="auto"/>
              <w:rPr>
                <w:rFonts w:cs="Arial"/>
                <w:sz w:val="20"/>
                <w:szCs w:val="22"/>
              </w:rPr>
            </w:pPr>
            <w:r>
              <w:rPr>
                <w:rFonts w:cs="Arial"/>
                <w:noProof/>
                <w:sz w:val="20"/>
                <w:szCs w:val="22"/>
              </w:rPr>
              <w:t xml:space="preserve"> </w:t>
            </w:r>
            <w:r w:rsidRPr="00EC7E55">
              <w:rPr>
                <w:rFonts w:cs="Arial"/>
                <w:noProof/>
                <w:sz w:val="20"/>
                <w:szCs w:val="22"/>
                <w:lang w:val="de-CH" w:eastAsia="de-CH"/>
              </w:rPr>
              <w:drawing>
                <wp:inline distT="0" distB="0" distL="0" distR="0" wp14:anchorId="4F3D031A" wp14:editId="72ACD981">
                  <wp:extent cx="2520000" cy="2160000"/>
                  <wp:effectExtent l="0" t="0" r="0" b="0"/>
                  <wp:docPr id="8" name="Grafik 8" descr="Q:\Doka\Company\External Communication - Image\Press Releases (tbd)\In progress_2019\2019_11 DokaXlight\Pictures\Word\DokaXligh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19\2019_11 DokaXlight\Pictures\Word\DokaXlight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2160000"/>
                          </a:xfrm>
                          <a:prstGeom prst="rect">
                            <a:avLst/>
                          </a:prstGeom>
                          <a:noFill/>
                          <a:ln>
                            <a:noFill/>
                          </a:ln>
                        </pic:spPr>
                      </pic:pic>
                    </a:graphicData>
                  </a:graphic>
                </wp:inline>
              </w:drawing>
            </w:r>
          </w:p>
        </w:tc>
      </w:tr>
      <w:tr w:rsidR="00321D7D" w:rsidRPr="00EA2291" w14:paraId="43E6F22D" w14:textId="77777777" w:rsidTr="007515E3">
        <w:trPr>
          <w:trHeight w:val="1870"/>
        </w:trPr>
        <w:tc>
          <w:tcPr>
            <w:tcW w:w="8506" w:type="dxa"/>
            <w:gridSpan w:val="2"/>
          </w:tcPr>
          <w:p w14:paraId="170B8A05" w14:textId="77777777" w:rsidR="00321D7D" w:rsidRDefault="00321D7D" w:rsidP="007515E3">
            <w:pPr>
              <w:spacing w:line="276" w:lineRule="auto"/>
              <w:rPr>
                <w:sz w:val="20"/>
              </w:rPr>
            </w:pPr>
          </w:p>
          <w:p w14:paraId="30BA90CC" w14:textId="48F63372" w:rsidR="00321D7D" w:rsidRPr="00D80DB4" w:rsidRDefault="00D80DB4" w:rsidP="007515E3">
            <w:pPr>
              <w:spacing w:line="276" w:lineRule="auto"/>
              <w:rPr>
                <w:lang w:val="fr-FR"/>
              </w:rPr>
            </w:pPr>
            <w:r w:rsidRPr="00D80DB4">
              <w:rPr>
                <w:lang w:val="fr-FR"/>
              </w:rPr>
              <w:t>DokaXlight est la solution idéale sur les chantiers sans grue</w:t>
            </w:r>
            <w:r w:rsidR="00321D7D" w:rsidRPr="00D80DB4">
              <w:rPr>
                <w:lang w:val="fr-FR"/>
              </w:rPr>
              <w:t>.</w:t>
            </w:r>
          </w:p>
          <w:p w14:paraId="0051B7AF" w14:textId="77777777" w:rsidR="00321D7D" w:rsidRPr="00D80DB4" w:rsidRDefault="00321D7D" w:rsidP="007515E3">
            <w:pPr>
              <w:spacing w:line="276" w:lineRule="auto"/>
              <w:rPr>
                <w:sz w:val="20"/>
                <w:lang w:val="fr-FR"/>
              </w:rPr>
            </w:pPr>
          </w:p>
          <w:p w14:paraId="5A005252" w14:textId="77777777" w:rsidR="00321D7D" w:rsidRPr="002D5E23" w:rsidRDefault="00321D7D" w:rsidP="007515E3">
            <w:pPr>
              <w:spacing w:line="276" w:lineRule="auto"/>
              <w:rPr>
                <w:sz w:val="20"/>
              </w:rPr>
            </w:pPr>
            <w:r w:rsidRPr="002D5E23">
              <w:rPr>
                <w:sz w:val="20"/>
              </w:rPr>
              <w:t>Fotos: DokaXlight_1.jpg, DokaXlight_2.jpg</w:t>
            </w:r>
          </w:p>
          <w:p w14:paraId="5962F1E6" w14:textId="77777777" w:rsidR="00321D7D" w:rsidRPr="00696388" w:rsidRDefault="00321D7D" w:rsidP="007515E3">
            <w:pPr>
              <w:spacing w:line="276" w:lineRule="auto"/>
              <w:rPr>
                <w:rFonts w:cs="Arial"/>
                <w:sz w:val="20"/>
                <w:szCs w:val="22"/>
              </w:rPr>
            </w:pPr>
            <w:r>
              <w:rPr>
                <w:rFonts w:cs="Arial"/>
                <w:sz w:val="20"/>
                <w:szCs w:val="22"/>
              </w:rPr>
              <w:t xml:space="preserve">Copyright: </w:t>
            </w:r>
            <w:r w:rsidRPr="00696388">
              <w:rPr>
                <w:rFonts w:cs="Arial"/>
                <w:sz w:val="20"/>
                <w:szCs w:val="22"/>
              </w:rPr>
              <w:t>Doka</w:t>
            </w:r>
          </w:p>
        </w:tc>
      </w:tr>
      <w:tr w:rsidR="00321D7D" w:rsidRPr="00EA2291" w14:paraId="7760311A" w14:textId="77777777" w:rsidTr="007515E3">
        <w:trPr>
          <w:trHeight w:val="2607"/>
        </w:trPr>
        <w:tc>
          <w:tcPr>
            <w:tcW w:w="4253" w:type="dxa"/>
          </w:tcPr>
          <w:p w14:paraId="0DE57839" w14:textId="77777777" w:rsidR="00321D7D" w:rsidRPr="00DE3488" w:rsidRDefault="00321D7D" w:rsidP="007515E3">
            <w:pPr>
              <w:spacing w:line="276" w:lineRule="auto"/>
              <w:rPr>
                <w:sz w:val="16"/>
                <w:szCs w:val="16"/>
              </w:rPr>
            </w:pPr>
            <w:r w:rsidRPr="004F242F">
              <w:rPr>
                <w:noProof/>
                <w:sz w:val="20"/>
                <w:lang w:val="de-CH" w:eastAsia="de-CH"/>
              </w:rPr>
              <w:drawing>
                <wp:inline distT="0" distB="0" distL="0" distR="0" wp14:anchorId="6C211AA1" wp14:editId="4D077A90">
                  <wp:extent cx="2520000" cy="2160000"/>
                  <wp:effectExtent l="0" t="0" r="0" b="0"/>
                  <wp:docPr id="7" name="Grafik 7" descr="Q:\Doka\Company\External Communication - Image\Press Releases (tbd)\In progress_2019\2019_11 DokaXlight\Pictures\Word\DokaXlight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Doka\Company\External Communication - Image\Press Releases (tbd)\In progress_2019\2019_11 DokaXlight\Pictures\Word\DokaXlight_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2160000"/>
                          </a:xfrm>
                          <a:prstGeom prst="rect">
                            <a:avLst/>
                          </a:prstGeom>
                          <a:noFill/>
                          <a:ln>
                            <a:noFill/>
                          </a:ln>
                        </pic:spPr>
                      </pic:pic>
                    </a:graphicData>
                  </a:graphic>
                </wp:inline>
              </w:drawing>
            </w:r>
          </w:p>
        </w:tc>
        <w:tc>
          <w:tcPr>
            <w:tcW w:w="4253" w:type="dxa"/>
            <w:shd w:val="clear" w:color="auto" w:fill="auto"/>
          </w:tcPr>
          <w:p w14:paraId="3741EE4F" w14:textId="77777777" w:rsidR="00321D7D" w:rsidRPr="00696388" w:rsidRDefault="00321D7D" w:rsidP="007515E3">
            <w:pPr>
              <w:tabs>
                <w:tab w:val="right" w:pos="4604"/>
              </w:tabs>
              <w:spacing w:line="276" w:lineRule="auto"/>
              <w:rPr>
                <w:sz w:val="20"/>
              </w:rPr>
            </w:pPr>
            <w:r>
              <w:rPr>
                <w:noProof/>
                <w:sz w:val="16"/>
                <w:szCs w:val="16"/>
              </w:rPr>
              <w:t xml:space="preserve"> </w:t>
            </w:r>
            <w:r w:rsidRPr="004F242F">
              <w:rPr>
                <w:noProof/>
                <w:sz w:val="16"/>
                <w:szCs w:val="16"/>
                <w:lang w:val="de-CH" w:eastAsia="de-CH"/>
              </w:rPr>
              <w:drawing>
                <wp:inline distT="0" distB="0" distL="0" distR="0" wp14:anchorId="32F5CBB1" wp14:editId="1A9415ED">
                  <wp:extent cx="2520000" cy="2160000"/>
                  <wp:effectExtent l="0" t="0" r="0" b="0"/>
                  <wp:docPr id="6" name="Grafik 6" descr="Q:\Doka\Company\External Communication - Image\Press Releases (tbd)\In progress_2019\2019_11 DokaXlight\Pictures\Word\DokaXlight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19\2019_11 DokaXlight\Pictures\Word\DokaXlight_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2160000"/>
                          </a:xfrm>
                          <a:prstGeom prst="rect">
                            <a:avLst/>
                          </a:prstGeom>
                          <a:noFill/>
                          <a:ln>
                            <a:noFill/>
                          </a:ln>
                        </pic:spPr>
                      </pic:pic>
                    </a:graphicData>
                  </a:graphic>
                </wp:inline>
              </w:drawing>
            </w:r>
          </w:p>
        </w:tc>
      </w:tr>
      <w:tr w:rsidR="00321D7D" w:rsidRPr="00EA2291" w14:paraId="424798DF" w14:textId="77777777" w:rsidTr="007515E3">
        <w:trPr>
          <w:trHeight w:val="1870"/>
        </w:trPr>
        <w:tc>
          <w:tcPr>
            <w:tcW w:w="8506" w:type="dxa"/>
            <w:gridSpan w:val="2"/>
          </w:tcPr>
          <w:p w14:paraId="40489B92" w14:textId="77777777" w:rsidR="00321D7D" w:rsidRPr="00786D7F" w:rsidRDefault="00321D7D" w:rsidP="007515E3">
            <w:pPr>
              <w:spacing w:line="276" w:lineRule="auto"/>
              <w:rPr>
                <w:sz w:val="20"/>
              </w:rPr>
            </w:pPr>
          </w:p>
          <w:p w14:paraId="3B92729A" w14:textId="61A8D4A9" w:rsidR="00D80DB4" w:rsidRPr="00D80DB4" w:rsidRDefault="00D80DB4" w:rsidP="00D80DB4">
            <w:pPr>
              <w:spacing w:line="276" w:lineRule="auto"/>
              <w:rPr>
                <w:lang w:val="fr-FR"/>
              </w:rPr>
            </w:pPr>
            <w:r w:rsidRPr="00D80DB4">
              <w:rPr>
                <w:lang w:val="fr-FR"/>
              </w:rPr>
              <w:t>Utilisation simple avec les poignées intégrées</w:t>
            </w:r>
            <w:r w:rsidR="00321D7D" w:rsidRPr="00D80DB4">
              <w:rPr>
                <w:lang w:val="fr-FR"/>
              </w:rPr>
              <w:t xml:space="preserve">. </w:t>
            </w:r>
            <w:r w:rsidRPr="00D80DB4">
              <w:rPr>
                <w:lang w:val="fr-FR"/>
              </w:rPr>
              <w:t>Grand nombre de réemplois grâce au</w:t>
            </w:r>
          </w:p>
          <w:p w14:paraId="3C8503E2" w14:textId="671F8B69" w:rsidR="00321D7D" w:rsidRPr="00D80DB4" w:rsidRDefault="00D80DB4" w:rsidP="00D80DB4">
            <w:pPr>
              <w:spacing w:line="276" w:lineRule="auto"/>
              <w:rPr>
                <w:lang w:val="fr-FR"/>
              </w:rPr>
            </w:pPr>
            <w:r w:rsidRPr="00D80DB4">
              <w:rPr>
                <w:lang w:val="fr-FR"/>
              </w:rPr>
              <w:t>panneau Xl</w:t>
            </w:r>
            <w:r>
              <w:rPr>
                <w:lang w:val="fr-FR"/>
              </w:rPr>
              <w:t xml:space="preserve">ife et à la bague de protection </w:t>
            </w:r>
            <w:r w:rsidRPr="00D80DB4">
              <w:rPr>
                <w:lang w:val="fr-FR"/>
              </w:rPr>
              <w:t>pour ancrage.</w:t>
            </w:r>
          </w:p>
          <w:p w14:paraId="55F2D8C1" w14:textId="77777777" w:rsidR="00321D7D" w:rsidRPr="00D80DB4" w:rsidRDefault="00321D7D" w:rsidP="007515E3">
            <w:pPr>
              <w:spacing w:line="276" w:lineRule="auto"/>
              <w:rPr>
                <w:sz w:val="20"/>
                <w:lang w:val="fr-FR"/>
              </w:rPr>
            </w:pPr>
          </w:p>
          <w:p w14:paraId="60725447" w14:textId="77777777" w:rsidR="00321D7D" w:rsidRPr="00B73740" w:rsidRDefault="00321D7D" w:rsidP="007515E3">
            <w:pPr>
              <w:spacing w:line="276" w:lineRule="auto"/>
              <w:rPr>
                <w:sz w:val="20"/>
              </w:rPr>
            </w:pPr>
            <w:r w:rsidRPr="00B73740">
              <w:rPr>
                <w:sz w:val="20"/>
              </w:rPr>
              <w:t>Fotos: DokaXlight_3.jpg, DokaXlight_4.jpg</w:t>
            </w:r>
          </w:p>
          <w:p w14:paraId="1D1824C7" w14:textId="77777777" w:rsidR="00321D7D" w:rsidRPr="00696388" w:rsidRDefault="00321D7D" w:rsidP="007515E3">
            <w:pPr>
              <w:spacing w:line="276" w:lineRule="auto"/>
              <w:rPr>
                <w:sz w:val="20"/>
              </w:rPr>
            </w:pPr>
            <w:r w:rsidRPr="00696388">
              <w:rPr>
                <w:sz w:val="20"/>
              </w:rPr>
              <w:t>Copyright: Doka</w:t>
            </w:r>
          </w:p>
        </w:tc>
      </w:tr>
    </w:tbl>
    <w:p w14:paraId="4FC06DCA" w14:textId="77777777" w:rsidR="00321D7D" w:rsidRPr="00DE3488" w:rsidRDefault="00321D7D" w:rsidP="00321D7D">
      <w:pPr>
        <w:rPr>
          <w:b/>
          <w:sz w:val="20"/>
        </w:rPr>
      </w:pPr>
    </w:p>
    <w:p w14:paraId="18B0DC0A" w14:textId="3F24BA0C" w:rsidR="00232591" w:rsidRPr="008A3048" w:rsidRDefault="00232591" w:rsidP="00321D7D">
      <w:pPr>
        <w:spacing w:line="276" w:lineRule="auto"/>
        <w:rPr>
          <w:i/>
          <w:sz w:val="20"/>
        </w:rPr>
      </w:pPr>
    </w:p>
    <w:sectPr w:rsidR="00232591" w:rsidRPr="008A3048" w:rsidSect="0055215B">
      <w:headerReference w:type="default" r:id="rId12"/>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49991" w14:textId="77777777" w:rsidR="00F40049" w:rsidRDefault="00F40049" w:rsidP="00D77512">
      <w:r>
        <w:separator/>
      </w:r>
    </w:p>
  </w:endnote>
  <w:endnote w:type="continuationSeparator" w:id="0">
    <w:p w14:paraId="3A778D1C" w14:textId="77777777" w:rsidR="00F40049" w:rsidRDefault="00F40049"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33428" w14:textId="77777777" w:rsidR="00F40049" w:rsidRDefault="00F40049" w:rsidP="00D77512">
      <w:r>
        <w:separator/>
      </w:r>
    </w:p>
  </w:footnote>
  <w:footnote w:type="continuationSeparator" w:id="0">
    <w:p w14:paraId="0B830B28" w14:textId="77777777" w:rsidR="00F40049" w:rsidRDefault="00F40049"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2ADED" w14:textId="7A5F2CAB" w:rsidR="00E05EEF" w:rsidRPr="00CD5933" w:rsidRDefault="00E05EEF" w:rsidP="00E05EEF">
    <w:pPr>
      <w:pStyle w:val="Kopfzeile"/>
      <w:rPr>
        <w:b/>
      </w:rPr>
    </w:pPr>
    <w:r w:rsidRPr="00080804">
      <w:rPr>
        <w:b/>
        <w:noProof/>
        <w:lang w:val="de-CH" w:eastAsia="de-CH"/>
      </w:rPr>
      <w:drawing>
        <wp:anchor distT="0" distB="0" distL="114300" distR="114300" simplePos="0" relativeHeight="251659264" behindDoc="0" locked="0" layoutInCell="1" allowOverlap="1" wp14:anchorId="64074223" wp14:editId="3C62FD03">
          <wp:simplePos x="0" y="0"/>
          <wp:positionH relativeFrom="column">
            <wp:posOffset>3902075</wp:posOffset>
          </wp:positionH>
          <wp:positionV relativeFrom="paragraph">
            <wp:posOffset>-36195</wp:posOffset>
          </wp:positionV>
          <wp:extent cx="1563260" cy="620202"/>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3260" cy="620202"/>
                  </a:xfrm>
                  <a:prstGeom prst="rect">
                    <a:avLst/>
                  </a:prstGeom>
                  <a:noFill/>
                  <a:ln w="9525">
                    <a:noFill/>
                    <a:miter lim="800000"/>
                    <a:headEnd/>
                    <a:tailEnd/>
                  </a:ln>
                </pic:spPr>
              </pic:pic>
            </a:graphicData>
          </a:graphic>
        </wp:anchor>
      </w:drawing>
    </w:r>
    <w:r w:rsidR="00D80DB4">
      <w:rPr>
        <w:b/>
        <w:noProof/>
        <w:lang w:val="de-CH" w:eastAsia="de-CH"/>
      </w:rPr>
      <w:t>Communiqué de presse</w:t>
    </w:r>
    <w:r>
      <w:rPr>
        <w:b/>
      </w:rPr>
      <w:t xml:space="preserve"> </w:t>
    </w:r>
    <w:r>
      <w:t xml:space="preserve">/ </w:t>
    </w:r>
    <w:r w:rsidR="00D80DB4">
      <w:t>Février</w:t>
    </w:r>
    <w:r>
      <w:t xml:space="preserve"> 2020</w:t>
    </w:r>
  </w:p>
  <w:p w14:paraId="1AFAB468" w14:textId="0B3AC05F" w:rsidR="00D954DB" w:rsidRDefault="00D954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167A9"/>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2CE8"/>
    <w:rsid w:val="000A6D5B"/>
    <w:rsid w:val="000A7A5C"/>
    <w:rsid w:val="000B4272"/>
    <w:rsid w:val="000C060F"/>
    <w:rsid w:val="000C2254"/>
    <w:rsid w:val="000D2AC4"/>
    <w:rsid w:val="000D3855"/>
    <w:rsid w:val="000D533D"/>
    <w:rsid w:val="000E2D5C"/>
    <w:rsid w:val="000F021E"/>
    <w:rsid w:val="000F025D"/>
    <w:rsid w:val="000F103C"/>
    <w:rsid w:val="000F1770"/>
    <w:rsid w:val="000F5690"/>
    <w:rsid w:val="00100CA8"/>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9579F"/>
    <w:rsid w:val="00196EC7"/>
    <w:rsid w:val="001970DF"/>
    <w:rsid w:val="001A0577"/>
    <w:rsid w:val="001A3C75"/>
    <w:rsid w:val="001A67BB"/>
    <w:rsid w:val="001B0ACD"/>
    <w:rsid w:val="001B2E65"/>
    <w:rsid w:val="001D04AE"/>
    <w:rsid w:val="001D296A"/>
    <w:rsid w:val="001D71D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1B89"/>
    <w:rsid w:val="00232591"/>
    <w:rsid w:val="0023286E"/>
    <w:rsid w:val="00235376"/>
    <w:rsid w:val="00237D0B"/>
    <w:rsid w:val="0024040A"/>
    <w:rsid w:val="0024704A"/>
    <w:rsid w:val="00247E08"/>
    <w:rsid w:val="00251D71"/>
    <w:rsid w:val="00251E54"/>
    <w:rsid w:val="002520C0"/>
    <w:rsid w:val="002647C8"/>
    <w:rsid w:val="00264AC2"/>
    <w:rsid w:val="00285AC9"/>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17A70"/>
    <w:rsid w:val="003211B6"/>
    <w:rsid w:val="00321D7D"/>
    <w:rsid w:val="003247EA"/>
    <w:rsid w:val="00326D8C"/>
    <w:rsid w:val="003309AD"/>
    <w:rsid w:val="00335188"/>
    <w:rsid w:val="00336151"/>
    <w:rsid w:val="003377FC"/>
    <w:rsid w:val="003416DD"/>
    <w:rsid w:val="003438CA"/>
    <w:rsid w:val="00343AF9"/>
    <w:rsid w:val="0034638C"/>
    <w:rsid w:val="00347489"/>
    <w:rsid w:val="003478BF"/>
    <w:rsid w:val="00352976"/>
    <w:rsid w:val="00357446"/>
    <w:rsid w:val="00360695"/>
    <w:rsid w:val="0036094B"/>
    <w:rsid w:val="003659EB"/>
    <w:rsid w:val="003675DC"/>
    <w:rsid w:val="0037387C"/>
    <w:rsid w:val="00376657"/>
    <w:rsid w:val="00377F54"/>
    <w:rsid w:val="00380248"/>
    <w:rsid w:val="00382323"/>
    <w:rsid w:val="00393042"/>
    <w:rsid w:val="00394F8F"/>
    <w:rsid w:val="003A1EFD"/>
    <w:rsid w:val="003A5BAB"/>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BFE"/>
    <w:rsid w:val="00422684"/>
    <w:rsid w:val="004255E6"/>
    <w:rsid w:val="00432FD7"/>
    <w:rsid w:val="00433A8D"/>
    <w:rsid w:val="0043452A"/>
    <w:rsid w:val="0043760D"/>
    <w:rsid w:val="004376E4"/>
    <w:rsid w:val="00440045"/>
    <w:rsid w:val="00450D8E"/>
    <w:rsid w:val="004511FE"/>
    <w:rsid w:val="00452F7A"/>
    <w:rsid w:val="00457C12"/>
    <w:rsid w:val="00462D2C"/>
    <w:rsid w:val="00463614"/>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3543"/>
    <w:rsid w:val="0053493B"/>
    <w:rsid w:val="00535F21"/>
    <w:rsid w:val="00551E42"/>
    <w:rsid w:val="0055215B"/>
    <w:rsid w:val="005546AC"/>
    <w:rsid w:val="0055583F"/>
    <w:rsid w:val="00555960"/>
    <w:rsid w:val="00556865"/>
    <w:rsid w:val="00557B43"/>
    <w:rsid w:val="00574C1A"/>
    <w:rsid w:val="005755BB"/>
    <w:rsid w:val="005757C6"/>
    <w:rsid w:val="005809A9"/>
    <w:rsid w:val="00582A19"/>
    <w:rsid w:val="00584A87"/>
    <w:rsid w:val="005A45A2"/>
    <w:rsid w:val="005A4F25"/>
    <w:rsid w:val="005A717A"/>
    <w:rsid w:val="005B3BFD"/>
    <w:rsid w:val="005C4057"/>
    <w:rsid w:val="005D106D"/>
    <w:rsid w:val="005E2578"/>
    <w:rsid w:val="005E7353"/>
    <w:rsid w:val="005F1E73"/>
    <w:rsid w:val="005F2A97"/>
    <w:rsid w:val="005F2FD0"/>
    <w:rsid w:val="006021DA"/>
    <w:rsid w:val="006070A4"/>
    <w:rsid w:val="006173F1"/>
    <w:rsid w:val="0061759A"/>
    <w:rsid w:val="006236CA"/>
    <w:rsid w:val="006270F4"/>
    <w:rsid w:val="00637D99"/>
    <w:rsid w:val="00641C5B"/>
    <w:rsid w:val="00641DA4"/>
    <w:rsid w:val="0065183A"/>
    <w:rsid w:val="00655700"/>
    <w:rsid w:val="00661301"/>
    <w:rsid w:val="00663FBB"/>
    <w:rsid w:val="006658D9"/>
    <w:rsid w:val="00670BBE"/>
    <w:rsid w:val="00671CC8"/>
    <w:rsid w:val="00675630"/>
    <w:rsid w:val="006773C2"/>
    <w:rsid w:val="00685EFF"/>
    <w:rsid w:val="00687679"/>
    <w:rsid w:val="00694D62"/>
    <w:rsid w:val="006B73C0"/>
    <w:rsid w:val="006C4874"/>
    <w:rsid w:val="006D7D46"/>
    <w:rsid w:val="006E0394"/>
    <w:rsid w:val="006E70B5"/>
    <w:rsid w:val="006F3357"/>
    <w:rsid w:val="006F4E78"/>
    <w:rsid w:val="00704D29"/>
    <w:rsid w:val="00710DF0"/>
    <w:rsid w:val="007147D4"/>
    <w:rsid w:val="00715C8E"/>
    <w:rsid w:val="0072308C"/>
    <w:rsid w:val="00724DE1"/>
    <w:rsid w:val="00731131"/>
    <w:rsid w:val="00731E6D"/>
    <w:rsid w:val="007370EA"/>
    <w:rsid w:val="00763C73"/>
    <w:rsid w:val="007657BC"/>
    <w:rsid w:val="00765F9C"/>
    <w:rsid w:val="00775847"/>
    <w:rsid w:val="00782662"/>
    <w:rsid w:val="00791CD9"/>
    <w:rsid w:val="007943AB"/>
    <w:rsid w:val="007A4268"/>
    <w:rsid w:val="007A4C56"/>
    <w:rsid w:val="007B0557"/>
    <w:rsid w:val="007B15CA"/>
    <w:rsid w:val="007B7B22"/>
    <w:rsid w:val="007C5EC8"/>
    <w:rsid w:val="007C744B"/>
    <w:rsid w:val="007D0D4F"/>
    <w:rsid w:val="007D270C"/>
    <w:rsid w:val="007D48F2"/>
    <w:rsid w:val="007E0115"/>
    <w:rsid w:val="007E0576"/>
    <w:rsid w:val="007E0D9B"/>
    <w:rsid w:val="007E4688"/>
    <w:rsid w:val="007E74C6"/>
    <w:rsid w:val="007F2523"/>
    <w:rsid w:val="00801239"/>
    <w:rsid w:val="008020EF"/>
    <w:rsid w:val="008068C9"/>
    <w:rsid w:val="00806994"/>
    <w:rsid w:val="0083323C"/>
    <w:rsid w:val="0083382A"/>
    <w:rsid w:val="00836DEA"/>
    <w:rsid w:val="00841197"/>
    <w:rsid w:val="00843206"/>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A3048"/>
    <w:rsid w:val="008A537A"/>
    <w:rsid w:val="008B0EA8"/>
    <w:rsid w:val="008B25E0"/>
    <w:rsid w:val="008B3EA0"/>
    <w:rsid w:val="008B3F21"/>
    <w:rsid w:val="008B4878"/>
    <w:rsid w:val="008B5D11"/>
    <w:rsid w:val="008C1106"/>
    <w:rsid w:val="008C4CDF"/>
    <w:rsid w:val="008C50CC"/>
    <w:rsid w:val="008D58B3"/>
    <w:rsid w:val="008D735A"/>
    <w:rsid w:val="008D7E77"/>
    <w:rsid w:val="008E5E59"/>
    <w:rsid w:val="008F593B"/>
    <w:rsid w:val="008F5DB3"/>
    <w:rsid w:val="008F7FEF"/>
    <w:rsid w:val="00902382"/>
    <w:rsid w:val="009024EA"/>
    <w:rsid w:val="00914F62"/>
    <w:rsid w:val="00916170"/>
    <w:rsid w:val="00916D6D"/>
    <w:rsid w:val="00917AA2"/>
    <w:rsid w:val="00921088"/>
    <w:rsid w:val="009216FD"/>
    <w:rsid w:val="00922F09"/>
    <w:rsid w:val="00925D63"/>
    <w:rsid w:val="00926D79"/>
    <w:rsid w:val="0093686E"/>
    <w:rsid w:val="009451ED"/>
    <w:rsid w:val="0094773D"/>
    <w:rsid w:val="0095516E"/>
    <w:rsid w:val="009554F0"/>
    <w:rsid w:val="0095761A"/>
    <w:rsid w:val="00957F63"/>
    <w:rsid w:val="00961CD7"/>
    <w:rsid w:val="00967DBF"/>
    <w:rsid w:val="00972A1D"/>
    <w:rsid w:val="00981B5B"/>
    <w:rsid w:val="00984D72"/>
    <w:rsid w:val="00994CF4"/>
    <w:rsid w:val="009A00B2"/>
    <w:rsid w:val="009B0B0F"/>
    <w:rsid w:val="009B6468"/>
    <w:rsid w:val="009B650C"/>
    <w:rsid w:val="009C296E"/>
    <w:rsid w:val="009C7E35"/>
    <w:rsid w:val="009D3DEE"/>
    <w:rsid w:val="009D493F"/>
    <w:rsid w:val="009D4B49"/>
    <w:rsid w:val="009D791E"/>
    <w:rsid w:val="009E3A54"/>
    <w:rsid w:val="009F43B5"/>
    <w:rsid w:val="009F7A08"/>
    <w:rsid w:val="00A02C5D"/>
    <w:rsid w:val="00A02D11"/>
    <w:rsid w:val="00A0655D"/>
    <w:rsid w:val="00A0725C"/>
    <w:rsid w:val="00A14613"/>
    <w:rsid w:val="00A155B1"/>
    <w:rsid w:val="00A416CA"/>
    <w:rsid w:val="00A448FE"/>
    <w:rsid w:val="00A47A57"/>
    <w:rsid w:val="00A47C07"/>
    <w:rsid w:val="00A509F5"/>
    <w:rsid w:val="00A56080"/>
    <w:rsid w:val="00A57517"/>
    <w:rsid w:val="00A727CE"/>
    <w:rsid w:val="00A76F61"/>
    <w:rsid w:val="00A800BE"/>
    <w:rsid w:val="00A8208E"/>
    <w:rsid w:val="00A87257"/>
    <w:rsid w:val="00A87774"/>
    <w:rsid w:val="00A96591"/>
    <w:rsid w:val="00A96B55"/>
    <w:rsid w:val="00AA1345"/>
    <w:rsid w:val="00AA3C3B"/>
    <w:rsid w:val="00AA3FFA"/>
    <w:rsid w:val="00AB034C"/>
    <w:rsid w:val="00AB0D5C"/>
    <w:rsid w:val="00AB21D9"/>
    <w:rsid w:val="00AB6294"/>
    <w:rsid w:val="00AB71A0"/>
    <w:rsid w:val="00AC03D7"/>
    <w:rsid w:val="00AC65A0"/>
    <w:rsid w:val="00AD1C16"/>
    <w:rsid w:val="00AD47E4"/>
    <w:rsid w:val="00AD5CAC"/>
    <w:rsid w:val="00AE1577"/>
    <w:rsid w:val="00AE4EB4"/>
    <w:rsid w:val="00AE7ACC"/>
    <w:rsid w:val="00AF208F"/>
    <w:rsid w:val="00B0168F"/>
    <w:rsid w:val="00B048B0"/>
    <w:rsid w:val="00B05703"/>
    <w:rsid w:val="00B15A4E"/>
    <w:rsid w:val="00B2092E"/>
    <w:rsid w:val="00B25AF8"/>
    <w:rsid w:val="00B265C9"/>
    <w:rsid w:val="00B268B6"/>
    <w:rsid w:val="00B268F3"/>
    <w:rsid w:val="00B33959"/>
    <w:rsid w:val="00B343F4"/>
    <w:rsid w:val="00B43077"/>
    <w:rsid w:val="00B5165E"/>
    <w:rsid w:val="00B613EB"/>
    <w:rsid w:val="00B62CAD"/>
    <w:rsid w:val="00B74497"/>
    <w:rsid w:val="00B81B86"/>
    <w:rsid w:val="00B81D18"/>
    <w:rsid w:val="00B834EF"/>
    <w:rsid w:val="00B91D38"/>
    <w:rsid w:val="00B92EA6"/>
    <w:rsid w:val="00BA119F"/>
    <w:rsid w:val="00BA46D9"/>
    <w:rsid w:val="00BB4174"/>
    <w:rsid w:val="00BC312D"/>
    <w:rsid w:val="00BC4473"/>
    <w:rsid w:val="00BC53B7"/>
    <w:rsid w:val="00BC7EAE"/>
    <w:rsid w:val="00BD2BE7"/>
    <w:rsid w:val="00C001B1"/>
    <w:rsid w:val="00C029D3"/>
    <w:rsid w:val="00C2777E"/>
    <w:rsid w:val="00C31281"/>
    <w:rsid w:val="00C31596"/>
    <w:rsid w:val="00C411B2"/>
    <w:rsid w:val="00C43F16"/>
    <w:rsid w:val="00C44F7E"/>
    <w:rsid w:val="00C52C72"/>
    <w:rsid w:val="00C57604"/>
    <w:rsid w:val="00C759EE"/>
    <w:rsid w:val="00C80F02"/>
    <w:rsid w:val="00CA6099"/>
    <w:rsid w:val="00CC0E75"/>
    <w:rsid w:val="00CC3871"/>
    <w:rsid w:val="00CC7115"/>
    <w:rsid w:val="00CC7CC5"/>
    <w:rsid w:val="00CD040B"/>
    <w:rsid w:val="00CE26E4"/>
    <w:rsid w:val="00CF509F"/>
    <w:rsid w:val="00D128DD"/>
    <w:rsid w:val="00D163DB"/>
    <w:rsid w:val="00D20489"/>
    <w:rsid w:val="00D314BB"/>
    <w:rsid w:val="00D41179"/>
    <w:rsid w:val="00D43259"/>
    <w:rsid w:val="00D453D7"/>
    <w:rsid w:val="00D51372"/>
    <w:rsid w:val="00D516B9"/>
    <w:rsid w:val="00D570E1"/>
    <w:rsid w:val="00D62526"/>
    <w:rsid w:val="00D72455"/>
    <w:rsid w:val="00D75B7C"/>
    <w:rsid w:val="00D76604"/>
    <w:rsid w:val="00D7678E"/>
    <w:rsid w:val="00D77512"/>
    <w:rsid w:val="00D80697"/>
    <w:rsid w:val="00D80DB4"/>
    <w:rsid w:val="00D82BF4"/>
    <w:rsid w:val="00D87CC9"/>
    <w:rsid w:val="00D91345"/>
    <w:rsid w:val="00D954DB"/>
    <w:rsid w:val="00DA5D6F"/>
    <w:rsid w:val="00DB5E3A"/>
    <w:rsid w:val="00DB60C5"/>
    <w:rsid w:val="00DB75B4"/>
    <w:rsid w:val="00DD1276"/>
    <w:rsid w:val="00DD25C2"/>
    <w:rsid w:val="00DD2F0B"/>
    <w:rsid w:val="00DE3D46"/>
    <w:rsid w:val="00DF3599"/>
    <w:rsid w:val="00DF74E4"/>
    <w:rsid w:val="00E01C68"/>
    <w:rsid w:val="00E03140"/>
    <w:rsid w:val="00E0332F"/>
    <w:rsid w:val="00E05EEF"/>
    <w:rsid w:val="00E07289"/>
    <w:rsid w:val="00E107D5"/>
    <w:rsid w:val="00E11305"/>
    <w:rsid w:val="00E22093"/>
    <w:rsid w:val="00E251BE"/>
    <w:rsid w:val="00E26A6F"/>
    <w:rsid w:val="00E30DB3"/>
    <w:rsid w:val="00E32948"/>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A7B15"/>
    <w:rsid w:val="00EB11F0"/>
    <w:rsid w:val="00EB349B"/>
    <w:rsid w:val="00EC15DB"/>
    <w:rsid w:val="00EC746E"/>
    <w:rsid w:val="00EE28A6"/>
    <w:rsid w:val="00EE2B59"/>
    <w:rsid w:val="00EE79E5"/>
    <w:rsid w:val="00F023DC"/>
    <w:rsid w:val="00F069F3"/>
    <w:rsid w:val="00F075F8"/>
    <w:rsid w:val="00F1009F"/>
    <w:rsid w:val="00F244BB"/>
    <w:rsid w:val="00F24962"/>
    <w:rsid w:val="00F27E1D"/>
    <w:rsid w:val="00F3093D"/>
    <w:rsid w:val="00F31CD6"/>
    <w:rsid w:val="00F329B3"/>
    <w:rsid w:val="00F36FC7"/>
    <w:rsid w:val="00F40049"/>
    <w:rsid w:val="00F43E3E"/>
    <w:rsid w:val="00F45A53"/>
    <w:rsid w:val="00F5293D"/>
    <w:rsid w:val="00F52FD5"/>
    <w:rsid w:val="00F64099"/>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6CD3"/>
    <w:rsid w:val="00FC798B"/>
    <w:rsid w:val="00FD385A"/>
    <w:rsid w:val="00FD4FC9"/>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2A654-114D-447B-B025-3EB871E2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3</Pages>
  <Words>560</Words>
  <Characters>3530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4082</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Apolda wird erweitert</dc:subject>
  <dc:creator>Deutsche Doka</dc:creator>
  <cp:lastModifiedBy>Staub Dominic</cp:lastModifiedBy>
  <cp:revision>4</cp:revision>
  <cp:lastPrinted>2020-02-10T10:02:00Z</cp:lastPrinted>
  <dcterms:created xsi:type="dcterms:W3CDTF">2020-02-10T09:53:00Z</dcterms:created>
  <dcterms:modified xsi:type="dcterms:W3CDTF">2020-02-10T10:03:00Z</dcterms:modified>
</cp:coreProperties>
</file>